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0" w:rsidRDefault="00FD0140" w:rsidP="0092004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regeneracji oraz </w:t>
      </w:r>
      <w:r w:rsidR="00824DAF" w:rsidRPr="00B117D4">
        <w:rPr>
          <w:rFonts w:cstheme="minorHAnsi"/>
          <w:b/>
          <w:sz w:val="28"/>
          <w:szCs w:val="28"/>
        </w:rPr>
        <w:t xml:space="preserve">dostawę </w:t>
      </w:r>
      <w:r>
        <w:rPr>
          <w:rFonts w:cstheme="minorHAnsi"/>
          <w:b/>
          <w:sz w:val="28"/>
          <w:szCs w:val="28"/>
        </w:rPr>
        <w:t xml:space="preserve">do magazynu </w:t>
      </w:r>
      <w:bookmarkStart w:id="0" w:name="_GoBack"/>
      <w:r w:rsidR="001A6977">
        <w:rPr>
          <w:rFonts w:cstheme="minorHAnsi"/>
          <w:b/>
          <w:sz w:val="28"/>
          <w:szCs w:val="28"/>
        </w:rPr>
        <w:t xml:space="preserve">uszczelnienia mechanicznego </w:t>
      </w:r>
      <w:r w:rsidR="001A6977" w:rsidRPr="0063479E">
        <w:rPr>
          <w:b/>
          <w:sz w:val="28"/>
          <w:szCs w:val="28"/>
        </w:rPr>
        <w:t xml:space="preserve">- typ </w:t>
      </w:r>
      <w:r w:rsidR="001A6977">
        <w:rPr>
          <w:rFonts w:cstheme="minorHAnsi"/>
          <w:b/>
          <w:sz w:val="28"/>
          <w:szCs w:val="28"/>
        </w:rPr>
        <w:t xml:space="preserve">50UVP oraz </w:t>
      </w:r>
      <w:r w:rsidR="001A6977" w:rsidRPr="0063479E">
        <w:rPr>
          <w:b/>
          <w:sz w:val="28"/>
          <w:szCs w:val="28"/>
        </w:rPr>
        <w:t xml:space="preserve">uszczelnienia mechanicznego - typ </w:t>
      </w:r>
      <w:r w:rsidR="001A6977" w:rsidRPr="00AC3E4C">
        <w:rPr>
          <w:b/>
          <w:sz w:val="28"/>
          <w:szCs w:val="28"/>
        </w:rPr>
        <w:t>70UVP</w:t>
      </w:r>
      <w:bookmarkEnd w:id="0"/>
      <w:r w:rsidR="001A6977" w:rsidRPr="00AC3E4C">
        <w:rPr>
          <w:b/>
          <w:sz w:val="28"/>
          <w:szCs w:val="28"/>
        </w:rPr>
        <w:t>/DO-QQV-G-0.824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="00EF3BD3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regeneracji i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670DE3" w:rsidRDefault="001A6977" w:rsidP="001A6977">
      <w:pPr>
        <w:pStyle w:val="Tekstpodstawowy"/>
        <w:ind w:left="426"/>
        <w:rPr>
          <w:b/>
        </w:rPr>
      </w:pPr>
      <w:r w:rsidRPr="001A6977">
        <w:rPr>
          <w:rFonts w:cstheme="minorHAnsi"/>
          <w:b/>
        </w:rPr>
        <w:t>Uszczelnienie mechaniczne</w:t>
      </w:r>
      <w:r w:rsidRPr="001A6977">
        <w:rPr>
          <w:rFonts w:cstheme="minorHAnsi"/>
          <w:b/>
        </w:rPr>
        <w:t xml:space="preserve"> </w:t>
      </w:r>
      <w:r w:rsidRPr="001A6977">
        <w:rPr>
          <w:b/>
        </w:rPr>
        <w:t xml:space="preserve">- typ </w:t>
      </w:r>
      <w:r w:rsidRPr="001A6977">
        <w:rPr>
          <w:rFonts w:cstheme="minorHAnsi"/>
          <w:b/>
        </w:rPr>
        <w:t>50UVP</w:t>
      </w:r>
      <w:r w:rsidR="00390238" w:rsidRPr="001A6977">
        <w:rPr>
          <w:b/>
        </w:rPr>
        <w:t xml:space="preserve"> –</w:t>
      </w:r>
      <w:r>
        <w:rPr>
          <w:b/>
        </w:rPr>
        <w:t xml:space="preserve"> 1 szt.</w:t>
      </w:r>
      <w:r w:rsidR="00390238" w:rsidRPr="001A6977">
        <w:rPr>
          <w:b/>
        </w:rPr>
        <w:t xml:space="preserve"> </w:t>
      </w:r>
      <w:r w:rsidRPr="001A6977">
        <w:rPr>
          <w:b/>
        </w:rPr>
        <w:t xml:space="preserve">wg załącznika do ogłoszenia nr 6 </w:t>
      </w:r>
      <w:r w:rsidRPr="001A6977">
        <w:rPr>
          <w:b/>
        </w:rPr>
        <w:t>Zakres regeneracji uszczelnień mechanicznych</w:t>
      </w:r>
    </w:p>
    <w:p w:rsidR="001A6977" w:rsidRPr="001A6977" w:rsidRDefault="001A6977" w:rsidP="001A6977">
      <w:pPr>
        <w:pStyle w:val="Tekstpodstawowy"/>
        <w:ind w:left="426"/>
        <w:rPr>
          <w:b/>
        </w:rPr>
      </w:pPr>
      <w:r w:rsidRPr="001A6977">
        <w:rPr>
          <w:rFonts w:cstheme="minorHAnsi"/>
          <w:b/>
        </w:rPr>
        <w:t xml:space="preserve">Uszczelnienie mechaniczne </w:t>
      </w:r>
      <w:r w:rsidRPr="001A6977">
        <w:rPr>
          <w:b/>
        </w:rPr>
        <w:t>- typ</w:t>
      </w:r>
      <w:r w:rsidRPr="001A6977">
        <w:rPr>
          <w:b/>
          <w:sz w:val="28"/>
          <w:szCs w:val="28"/>
        </w:rPr>
        <w:t xml:space="preserve"> </w:t>
      </w:r>
      <w:r w:rsidRPr="001A6977">
        <w:rPr>
          <w:b/>
        </w:rPr>
        <w:t>70UVP/DO-QQV-G-0.824</w:t>
      </w:r>
      <w:r w:rsidR="00804907">
        <w:rPr>
          <w:b/>
        </w:rPr>
        <w:t xml:space="preserve"> – 5 szt. </w:t>
      </w:r>
      <w:r w:rsidR="00804907" w:rsidRPr="001A6977">
        <w:rPr>
          <w:b/>
        </w:rPr>
        <w:t>wg załącznika do ogłoszenia nr 6 Zakres regeneracji uszczelnień mechanicznych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EF3BD3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EF3BD3">
        <w:rPr>
          <w:rFonts w:asciiTheme="minorHAnsi" w:hAnsiTheme="minorHAnsi" w:cstheme="minorHAnsi"/>
          <w:b/>
          <w:lang w:val="pl-PL"/>
        </w:rPr>
        <w:t>8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804907">
        <w:rPr>
          <w:rFonts w:asciiTheme="minorHAnsi" w:hAnsiTheme="minorHAnsi" w:cs="Arial"/>
          <w:bCs w:val="0"/>
          <w:iCs w:val="0"/>
          <w:lang w:val="pl-PL"/>
        </w:rPr>
        <w:t>23</w:t>
      </w:r>
      <w:r>
        <w:rPr>
          <w:rFonts w:asciiTheme="minorHAnsi" w:hAnsiTheme="minorHAnsi" w:cs="Arial"/>
          <w:bCs w:val="0"/>
          <w:iCs w:val="0"/>
          <w:lang w:val="pl-PL"/>
        </w:rPr>
        <w:t>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 xml:space="preserve">Zamówienie będzie złożone zgodnie Ogólnymi Warunkami Zakupu Towarów Enea Połaniec S.A. </w:t>
      </w:r>
      <w:r w:rsidRPr="00BE22F8">
        <w:rPr>
          <w:rFonts w:asciiTheme="minorHAnsi" w:hAnsiTheme="minorHAnsi" w:cs="Arial"/>
        </w:rPr>
        <w:lastRenderedPageBreak/>
        <w:t>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804907">
        <w:rPr>
          <w:rFonts w:asciiTheme="minorHAnsi" w:hAnsiTheme="minorHAnsi" w:cs="Arial"/>
          <w:b/>
          <w:lang w:val="pl-PL"/>
        </w:rPr>
        <w:t>22</w:t>
      </w:r>
      <w:r>
        <w:rPr>
          <w:rFonts w:asciiTheme="minorHAnsi" w:hAnsiTheme="minorHAnsi" w:cs="Arial"/>
          <w:b/>
          <w:lang w:val="pl-PL"/>
        </w:rPr>
        <w:t>.06.2020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DE3D8C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804907">
        <w:rPr>
          <w:rFonts w:asciiTheme="minorHAnsi" w:hAnsiTheme="minorHAnsi"/>
          <w:b/>
          <w:lang w:eastAsia="pl-PL"/>
        </w:rPr>
        <w:t>Łukasz Murat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804907">
        <w:rPr>
          <w:rFonts w:asciiTheme="minorHAnsi" w:hAnsiTheme="minorHAnsi" w:cs="Arial"/>
          <w:b/>
        </w:rPr>
        <w:t>4</w:t>
      </w:r>
      <w:r w:rsidR="00DE3D8C">
        <w:rPr>
          <w:rFonts w:asciiTheme="minorHAnsi" w:hAnsiTheme="minorHAnsi" w:cs="Arial"/>
          <w:b/>
        </w:rPr>
        <w:t xml:space="preserve"> </w:t>
      </w:r>
      <w:r w:rsidR="00804907">
        <w:rPr>
          <w:rFonts w:asciiTheme="minorHAnsi" w:hAnsiTheme="minorHAnsi" w:cs="Arial"/>
          <w:b/>
        </w:rPr>
        <w:t>62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804907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804907">
          <w:rPr>
            <w:rStyle w:val="Hipercze"/>
            <w:color w:val="0070C0"/>
            <w:lang w:val="en-US"/>
          </w:rPr>
          <w:t>lukasz.murat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  <w:r>
        <w:t xml:space="preserve">Załącznik nr </w:t>
      </w:r>
      <w:r>
        <w:t>6</w:t>
      </w:r>
      <w:r w:rsidRPr="000078F0">
        <w:t xml:space="preserve"> – </w:t>
      </w:r>
      <w:r>
        <w:t>Zakres regeneracji uszczelnień mechanicznych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203074" w:rsidRDefault="00B85BB9" w:rsidP="0054670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804907" w:rsidRPr="0054670D" w:rsidRDefault="00804907" w:rsidP="00804907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804907" w:rsidRPr="0054670D" w:rsidRDefault="00804907" w:rsidP="0054670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804907">
        <w:rPr>
          <w:rStyle w:val="lscontrol--valign"/>
          <w:sz w:val="27"/>
          <w:szCs w:val="27"/>
        </w:rPr>
        <w:t>4100/JW00/31/KZ/2020/0000053873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regenerację i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085C17">
        <w:rPr>
          <w:rFonts w:cstheme="minorHAnsi"/>
        </w:rPr>
        <w:t>czerwca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04907" w:rsidRPr="00FD138B" w:rsidRDefault="00804907" w:rsidP="00804907">
      <w:pPr>
        <w:pStyle w:val="BodyText21"/>
        <w:numPr>
          <w:ilvl w:val="0"/>
          <w:numId w:val="8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t xml:space="preserve">Dostawca oświadcza i zapewnia, że zapoznał się i będzie przestrzegał postanowień Kodeksu Kontrahentów Grupy ENEA dostępnego na stronie: </w:t>
      </w:r>
      <w:hyperlink r:id="rId17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04907" w:rsidRDefault="00804907" w:rsidP="00804907">
      <w:pPr>
        <w:pStyle w:val="Tekstpodstawowy"/>
        <w:ind w:left="426" w:firstLine="282"/>
        <w:rPr>
          <w:b/>
        </w:rPr>
      </w:pPr>
      <w:r w:rsidRPr="001A6977">
        <w:rPr>
          <w:rFonts w:cstheme="minorHAnsi"/>
          <w:b/>
        </w:rPr>
        <w:t xml:space="preserve">Uszczelnienie mechaniczne </w:t>
      </w:r>
      <w:r w:rsidRPr="001A6977">
        <w:rPr>
          <w:b/>
        </w:rPr>
        <w:t xml:space="preserve">- typ </w:t>
      </w:r>
      <w:r w:rsidRPr="001A6977">
        <w:rPr>
          <w:rFonts w:cstheme="minorHAnsi"/>
          <w:b/>
        </w:rPr>
        <w:t>50UVP</w:t>
      </w:r>
      <w:r w:rsidRPr="001A6977">
        <w:rPr>
          <w:b/>
        </w:rPr>
        <w:t xml:space="preserve"> –</w:t>
      </w:r>
      <w:r>
        <w:rPr>
          <w:b/>
        </w:rPr>
        <w:t xml:space="preserve"> 1 szt.</w:t>
      </w:r>
      <w:r w:rsidRPr="001A6977">
        <w:rPr>
          <w:b/>
        </w:rPr>
        <w:t xml:space="preserve"> </w:t>
      </w:r>
    </w:p>
    <w:p w:rsidR="00891441" w:rsidRDefault="00804907" w:rsidP="00804907">
      <w:pPr>
        <w:pStyle w:val="Tekstpodstawowy"/>
        <w:ind w:left="708"/>
        <w:rPr>
          <w:rFonts w:cstheme="minorHAnsi"/>
          <w:b/>
        </w:rPr>
      </w:pPr>
      <w:r w:rsidRPr="001A6977">
        <w:rPr>
          <w:rFonts w:cstheme="minorHAnsi"/>
          <w:b/>
        </w:rPr>
        <w:t xml:space="preserve">Uszczelnienie mechaniczne </w:t>
      </w:r>
      <w:r w:rsidRPr="001A6977">
        <w:rPr>
          <w:b/>
        </w:rPr>
        <w:t>- typ</w:t>
      </w:r>
      <w:r w:rsidRPr="001A6977">
        <w:rPr>
          <w:b/>
          <w:sz w:val="28"/>
          <w:szCs w:val="28"/>
        </w:rPr>
        <w:t xml:space="preserve"> </w:t>
      </w:r>
      <w:r w:rsidRPr="001A6977">
        <w:rPr>
          <w:b/>
        </w:rPr>
        <w:t>70UVP/DO-QQV-G-0.824</w:t>
      </w:r>
      <w:r>
        <w:rPr>
          <w:b/>
        </w:rPr>
        <w:t xml:space="preserve"> – 5 szt.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C19AB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EC19AB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Pr="00804907" w:rsidRDefault="00085C17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804907" w:rsidRDefault="00804907" w:rsidP="00804907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</w:p>
    <w:p w:rsidR="00804907" w:rsidRPr="00085C17" w:rsidRDefault="00804907" w:rsidP="00804907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>-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8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0490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Łukasz Murat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62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DB5AF0">
          <w:rPr>
            <w:rStyle w:val="Hipercze"/>
            <w:rFonts w:eastAsiaTheme="minorEastAsia"/>
            <w:noProof/>
            <w:lang w:eastAsia="pl-PL"/>
          </w:rPr>
          <w:t>lukasz.murat@enea.pl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FD0140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 xml:space="preserve">Wykonawca gwarantuje, że Przedmiot Umowy </w:t>
      </w:r>
      <w:r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lastRenderedPageBreak/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F072C6" w:rsidRPr="00F072C6" w:rsidRDefault="00F072C6" w:rsidP="00F072C6">
      <w:pPr>
        <w:pStyle w:val="Nagwek3"/>
        <w:numPr>
          <w:ilvl w:val="2"/>
          <w:numId w:val="7"/>
        </w:numPr>
        <w:rPr>
          <w:lang w:val="pl-PL"/>
        </w:rPr>
      </w:pPr>
      <w:r w:rsidRPr="00F072C6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Pr="00EC19AB">
        <w:rPr>
          <w:rFonts w:asciiTheme="minorHAnsi" w:hAnsiTheme="minorHAnsi" w:cstheme="minorHAnsi"/>
          <w:szCs w:val="22"/>
          <w:lang w:val="pl-PL"/>
        </w:rPr>
        <w:t xml:space="preserve">2 - </w:t>
      </w:r>
      <w:r w:rsidR="00804907" w:rsidRPr="00804907">
        <w:rPr>
          <w:rFonts w:asciiTheme="minorHAnsi" w:hAnsiTheme="minorHAnsi" w:cstheme="minorHAnsi"/>
          <w:szCs w:val="22"/>
          <w:lang w:val="pl-PL"/>
        </w:rPr>
        <w:t>Zakres regeneracji uszczelnień mechanicznych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F072C6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EE5F70" wp14:editId="62D02F91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DC030C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</w:t>
      </w:r>
      <w:r w:rsidR="00804907">
        <w:rPr>
          <w:rFonts w:ascii="Franklin Gothic Book" w:hAnsi="Franklin Gothic Book" w:cs="Calibri"/>
          <w:szCs w:val="20"/>
        </w:rPr>
        <w:t>6</w:t>
      </w:r>
      <w:r w:rsidRPr="00933462">
        <w:rPr>
          <w:rFonts w:ascii="Franklin Gothic Book" w:hAnsi="Franklin Gothic Book" w:cs="Calibri"/>
          <w:szCs w:val="20"/>
        </w:rPr>
        <w:t xml:space="preserve"> do </w:t>
      </w:r>
      <w:r w:rsidR="00804907">
        <w:rPr>
          <w:rFonts w:ascii="Franklin Gothic Book" w:hAnsi="Franklin Gothic Book" w:cs="Calibri"/>
          <w:szCs w:val="20"/>
        </w:rPr>
        <w:t>ogłoszenia</w:t>
      </w:r>
    </w:p>
    <w:p w:rsidR="0054670D" w:rsidRDefault="0054670D" w:rsidP="0054670D">
      <w:pPr>
        <w:spacing w:line="276" w:lineRule="auto"/>
        <w:rPr>
          <w:rFonts w:cs="Arial"/>
        </w:rPr>
      </w:pPr>
    </w:p>
    <w:p w:rsidR="0054670D" w:rsidRPr="00F67CA5" w:rsidRDefault="0054670D" w:rsidP="0054670D">
      <w:pPr>
        <w:spacing w:line="276" w:lineRule="auto"/>
        <w:rPr>
          <w:rFonts w:cs="Arial"/>
        </w:rPr>
      </w:pPr>
    </w:p>
    <w:p w:rsidR="0054670D" w:rsidRDefault="00804907" w:rsidP="0054670D">
      <w:pPr>
        <w:rPr>
          <w:b/>
        </w:rPr>
      </w:pPr>
      <w:r w:rsidRPr="001A6977">
        <w:rPr>
          <w:b/>
        </w:rPr>
        <w:t>Zakres regeneracji uszczelnień mechanicznych</w:t>
      </w:r>
    </w:p>
    <w:p w:rsidR="00804907" w:rsidRPr="00DA72FA" w:rsidRDefault="00804907" w:rsidP="0054670D"/>
    <w:p w:rsidR="00804907" w:rsidRPr="0063479E" w:rsidRDefault="00804907" w:rsidP="00804907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>
        <w:rPr>
          <w:b/>
          <w:sz w:val="28"/>
          <w:szCs w:val="28"/>
        </w:rPr>
        <w:t>5</w:t>
      </w:r>
      <w:r w:rsidRPr="00AC3E4C">
        <w:rPr>
          <w:b/>
          <w:sz w:val="28"/>
          <w:szCs w:val="28"/>
        </w:rPr>
        <w:t>0UVP/DO-QQV-G-</w:t>
      </w:r>
      <w:r>
        <w:rPr>
          <w:b/>
          <w:sz w:val="28"/>
          <w:szCs w:val="28"/>
        </w:rPr>
        <w:t>xxx</w:t>
      </w:r>
    </w:p>
    <w:p w:rsidR="00804907" w:rsidRPr="00EF362C" w:rsidRDefault="00804907" w:rsidP="00804907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 xml:space="preserve">Zakres regeneracji uszczelnienia mechanicznego </w:t>
      </w:r>
      <w:r>
        <w:rPr>
          <w:sz w:val="24"/>
          <w:szCs w:val="24"/>
          <w:u w:val="single"/>
        </w:rPr>
        <w:t>pompy obejmuje</w:t>
      </w:r>
      <w:r w:rsidRPr="00EF362C">
        <w:rPr>
          <w:sz w:val="24"/>
          <w:szCs w:val="24"/>
          <w:u w:val="single"/>
        </w:rPr>
        <w:t>: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804907" w:rsidRDefault="00804907" w:rsidP="00804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pierścienia krzemowego, stałego,</w:t>
      </w:r>
    </w:p>
    <w:p w:rsidR="00804907" w:rsidRDefault="00804907" w:rsidP="00804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pierścienia krzemowego, obrotowego,</w:t>
      </w:r>
    </w:p>
    <w:p w:rsidR="00804907" w:rsidRDefault="00804907" w:rsidP="00804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 oraz kołków,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804907" w:rsidRDefault="00804907" w:rsidP="00804907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54670D" w:rsidRDefault="00804907" w:rsidP="00804907">
      <w:pPr>
        <w:spacing w:line="276" w:lineRule="auto"/>
      </w:pPr>
      <w:r w:rsidRPr="00484B0A">
        <w:rPr>
          <w:b/>
        </w:rPr>
        <w:t>Wymagania:</w:t>
      </w:r>
      <w:r>
        <w:t xml:space="preserve"> atesty, poświadczenia, świadectwa, okres gwarancji  dla uszczelniania po regeneracji 12 miesięcy</w:t>
      </w:r>
    </w:p>
    <w:p w:rsidR="00804907" w:rsidRDefault="00804907" w:rsidP="00804907">
      <w:pPr>
        <w:spacing w:line="276" w:lineRule="auto"/>
      </w:pPr>
    </w:p>
    <w:p w:rsidR="00804907" w:rsidRDefault="00804907" w:rsidP="00804907">
      <w:pPr>
        <w:spacing w:line="276" w:lineRule="auto"/>
      </w:pPr>
    </w:p>
    <w:p w:rsidR="00804907" w:rsidRPr="0063479E" w:rsidRDefault="00804907" w:rsidP="00804907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Pr="00AC3E4C">
        <w:rPr>
          <w:b/>
          <w:sz w:val="28"/>
          <w:szCs w:val="28"/>
        </w:rPr>
        <w:t>70UVP/DO-QQV-G-0.824</w:t>
      </w:r>
    </w:p>
    <w:p w:rsidR="00804907" w:rsidRPr="00EF362C" w:rsidRDefault="00804907" w:rsidP="00804907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 xml:space="preserve">Zakres regeneracji uszczelnienia mechanicznego </w:t>
      </w:r>
      <w:r>
        <w:rPr>
          <w:sz w:val="24"/>
          <w:szCs w:val="24"/>
          <w:u w:val="single"/>
        </w:rPr>
        <w:t>pompy obejmuje</w:t>
      </w:r>
      <w:r w:rsidRPr="00EF362C">
        <w:rPr>
          <w:sz w:val="24"/>
          <w:szCs w:val="24"/>
          <w:u w:val="single"/>
        </w:rPr>
        <w:t>: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obu pierścieni ślizgowych (krzemowych),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elastomerów, sprężyn oraz kołków,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804907" w:rsidRDefault="00804907" w:rsidP="00804907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804907" w:rsidRDefault="00804907" w:rsidP="00804907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  <w:r w:rsidRPr="0011497F">
        <w:rPr>
          <w:b/>
        </w:rPr>
        <w:t>Wymagania:</w:t>
      </w:r>
      <w:r>
        <w:t xml:space="preserve"> atesty, poświadczenia, świadectwa, okres gwarancji dla uszczelniania po regeneracji 12 miesięcy</w:t>
      </w: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00" w:rsidRDefault="00DD1600" w:rsidP="00B33061">
      <w:pPr>
        <w:spacing w:after="0" w:line="240" w:lineRule="auto"/>
      </w:pPr>
      <w:r>
        <w:separator/>
      </w:r>
    </w:p>
  </w:endnote>
  <w:endnote w:type="continuationSeparator" w:id="0">
    <w:p w:rsidR="00DD1600" w:rsidRDefault="00DD160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00" w:rsidRDefault="00DD1600" w:rsidP="00B33061">
      <w:pPr>
        <w:spacing w:after="0" w:line="240" w:lineRule="auto"/>
      </w:pPr>
      <w:r>
        <w:separator/>
      </w:r>
    </w:p>
  </w:footnote>
  <w:footnote w:type="continuationSeparator" w:id="0">
    <w:p w:rsidR="00DD1600" w:rsidRDefault="00DD160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577F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lukasz.murat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F60C-0316-4878-8AB9-5FB8BE2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4723</Words>
  <Characters>28340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2020-06-17T10:25:00Z</dcterms:created>
  <dcterms:modified xsi:type="dcterms:W3CDTF">2020-06-17T10:25:00Z</dcterms:modified>
  <cp:contentStatus/>
</cp:coreProperties>
</file>